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E0CA2">
        <w:rPr>
          <w:sz w:val="28"/>
          <w:szCs w:val="28"/>
          <w:lang w:eastAsia="en-US"/>
        </w:rPr>
        <w:t>1</w:t>
      </w:r>
      <w:r w:rsidR="00F20B34">
        <w:rPr>
          <w:sz w:val="28"/>
          <w:szCs w:val="28"/>
          <w:lang w:eastAsia="en-US"/>
        </w:rPr>
        <w:t>7</w:t>
      </w:r>
      <w:r w:rsidR="00951B6B">
        <w:rPr>
          <w:sz w:val="28"/>
          <w:szCs w:val="28"/>
          <w:lang w:eastAsia="en-US"/>
        </w:rPr>
        <w:t xml:space="preserve"> </w:t>
      </w:r>
      <w:r w:rsidR="00CE0CA2">
        <w:rPr>
          <w:sz w:val="28"/>
          <w:szCs w:val="28"/>
          <w:lang w:eastAsia="en-US"/>
        </w:rPr>
        <w:t>ноября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CE0CA2">
        <w:rPr>
          <w:sz w:val="28"/>
          <w:szCs w:val="28"/>
          <w:lang w:eastAsia="en-US"/>
        </w:rPr>
        <w:t>5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E0CA2">
        <w:rPr>
          <w:b/>
          <w:sz w:val="28"/>
          <w:szCs w:val="28"/>
          <w:lang w:eastAsia="en-US"/>
        </w:rPr>
        <w:t>55069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CE0CA2">
        <w:rPr>
          <w:b/>
          <w:sz w:val="28"/>
          <w:szCs w:val="28"/>
          <w:lang w:eastAsia="en-US"/>
        </w:rPr>
        <w:t>5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7B68E3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E0CA2" w:rsidRPr="00CE0CA2">
        <w:rPr>
          <w:sz w:val="28"/>
          <w:szCs w:val="28"/>
          <w:lang w:eastAsia="en-US"/>
        </w:rPr>
        <w:t>открыто</w:t>
      </w:r>
      <w:r w:rsidR="00CE0CA2">
        <w:rPr>
          <w:sz w:val="28"/>
          <w:szCs w:val="28"/>
          <w:lang w:eastAsia="en-US"/>
        </w:rPr>
        <w:t>е</w:t>
      </w:r>
      <w:r w:rsidR="00CE0CA2" w:rsidRPr="00CE0CA2">
        <w:rPr>
          <w:sz w:val="28"/>
          <w:szCs w:val="28"/>
          <w:lang w:eastAsia="en-US"/>
        </w:rPr>
        <w:t xml:space="preserve"> акционерно</w:t>
      </w:r>
      <w:r w:rsidR="00CE0CA2">
        <w:rPr>
          <w:sz w:val="28"/>
          <w:szCs w:val="28"/>
          <w:lang w:eastAsia="en-US"/>
        </w:rPr>
        <w:t>е</w:t>
      </w:r>
      <w:r w:rsidR="00CE0CA2" w:rsidRPr="00CE0CA2">
        <w:rPr>
          <w:sz w:val="28"/>
          <w:szCs w:val="28"/>
          <w:lang w:eastAsia="en-US"/>
        </w:rPr>
        <w:t xml:space="preserve"> обществ</w:t>
      </w:r>
      <w:r w:rsidR="00CE0CA2">
        <w:rPr>
          <w:sz w:val="28"/>
          <w:szCs w:val="28"/>
          <w:lang w:eastAsia="en-US"/>
        </w:rPr>
        <w:t>о</w:t>
      </w:r>
      <w:r w:rsidR="00CE0CA2" w:rsidRPr="00CE0CA2">
        <w:rPr>
          <w:sz w:val="28"/>
          <w:szCs w:val="28"/>
          <w:lang w:eastAsia="en-US"/>
        </w:rPr>
        <w:t xml:space="preserve"> «Российский Сельскохозяйственный банк»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7B68E3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proofErr w:type="spellStart"/>
      <w:r w:rsidR="00CE0CA2" w:rsidRPr="00CE0CA2">
        <w:rPr>
          <w:sz w:val="28"/>
          <w:szCs w:val="28"/>
          <w:lang w:eastAsia="en-US"/>
        </w:rPr>
        <w:t>Гаффнер</w:t>
      </w:r>
      <w:proofErr w:type="spellEnd"/>
      <w:r w:rsidR="00CE0CA2">
        <w:rPr>
          <w:sz w:val="28"/>
          <w:szCs w:val="28"/>
          <w:lang w:eastAsia="en-US"/>
        </w:rPr>
        <w:t xml:space="preserve"> Илья Владимирович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30597" w:rsidRPr="00C30597">
        <w:rPr>
          <w:sz w:val="28"/>
          <w:szCs w:val="28"/>
        </w:rPr>
        <w:t xml:space="preserve">о признании </w:t>
      </w:r>
      <w:r w:rsidR="007B68E3">
        <w:rPr>
          <w:sz w:val="28"/>
          <w:szCs w:val="28"/>
        </w:rPr>
        <w:t>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1B1BAB" w:rsidRPr="00D56326" w:rsidRDefault="00CE0CA2" w:rsidP="00CE0CA2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</w:t>
      </w:r>
      <w:r w:rsidR="002B479D" w:rsidRPr="002B479D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13</w:t>
      </w:r>
      <w:r w:rsidR="002B479D" w:rsidRPr="002B479D">
        <w:rPr>
          <w:sz w:val="28"/>
          <w:szCs w:val="28"/>
          <w:lang w:eastAsia="en-US"/>
        </w:rPr>
        <w:t>.0</w:t>
      </w:r>
      <w:r w:rsidR="00C30597">
        <w:rPr>
          <w:sz w:val="28"/>
          <w:szCs w:val="28"/>
          <w:lang w:eastAsia="en-US"/>
        </w:rPr>
        <w:t>7</w:t>
      </w:r>
      <w:r w:rsidR="002B479D" w:rsidRPr="002B479D">
        <w:rPr>
          <w:sz w:val="28"/>
          <w:szCs w:val="28"/>
          <w:lang w:eastAsia="en-US"/>
        </w:rPr>
        <w:t>.2016</w:t>
      </w:r>
      <w:r w:rsidR="00DF72B2">
        <w:rPr>
          <w:sz w:val="28"/>
          <w:szCs w:val="28"/>
          <w:lang w:eastAsia="en-US"/>
        </w:rPr>
        <w:t xml:space="preserve"> </w:t>
      </w:r>
      <w:r w:rsidRPr="00CE0CA2">
        <w:rPr>
          <w:sz w:val="28"/>
          <w:szCs w:val="28"/>
          <w:lang w:eastAsia="en-US"/>
        </w:rPr>
        <w:t xml:space="preserve">в отношении гражданина </w:t>
      </w:r>
      <w:proofErr w:type="spellStart"/>
      <w:r w:rsidRPr="00CE0CA2">
        <w:rPr>
          <w:sz w:val="28"/>
          <w:szCs w:val="28"/>
          <w:lang w:eastAsia="en-US"/>
        </w:rPr>
        <w:t>Гаффнера</w:t>
      </w:r>
      <w:proofErr w:type="spellEnd"/>
      <w:r w:rsidRPr="00CE0C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И.В.</w:t>
      </w:r>
      <w:r w:rsidRPr="00CE0CA2">
        <w:rPr>
          <w:sz w:val="28"/>
          <w:szCs w:val="28"/>
          <w:lang w:eastAsia="en-US"/>
        </w:rPr>
        <w:t xml:space="preserve"> заверш</w:t>
      </w:r>
      <w:r>
        <w:rPr>
          <w:sz w:val="28"/>
          <w:szCs w:val="28"/>
          <w:lang w:eastAsia="en-US"/>
        </w:rPr>
        <w:t>ена п</w:t>
      </w:r>
      <w:r w:rsidRPr="00CE0CA2">
        <w:rPr>
          <w:sz w:val="28"/>
          <w:szCs w:val="28"/>
          <w:lang w:eastAsia="en-US"/>
        </w:rPr>
        <w:t>роцедур</w:t>
      </w:r>
      <w:r>
        <w:rPr>
          <w:sz w:val="28"/>
          <w:szCs w:val="28"/>
          <w:lang w:eastAsia="en-US"/>
        </w:rPr>
        <w:t>а</w:t>
      </w:r>
      <w:r w:rsidRPr="00CE0CA2">
        <w:rPr>
          <w:sz w:val="28"/>
          <w:szCs w:val="28"/>
          <w:lang w:eastAsia="en-US"/>
        </w:rPr>
        <w:t xml:space="preserve"> реструктуризации долгов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Г</w:t>
      </w:r>
      <w:r w:rsidRPr="00CE0CA2">
        <w:rPr>
          <w:sz w:val="28"/>
          <w:szCs w:val="28"/>
          <w:lang w:eastAsia="en-US"/>
        </w:rPr>
        <w:t xml:space="preserve">ражданин </w:t>
      </w:r>
      <w:proofErr w:type="spellStart"/>
      <w:r>
        <w:rPr>
          <w:sz w:val="28"/>
          <w:szCs w:val="28"/>
          <w:lang w:eastAsia="en-US"/>
        </w:rPr>
        <w:t>Г</w:t>
      </w:r>
      <w:r w:rsidRPr="00CE0CA2">
        <w:rPr>
          <w:sz w:val="28"/>
          <w:szCs w:val="28"/>
          <w:lang w:eastAsia="en-US"/>
        </w:rPr>
        <w:t>аффнер</w:t>
      </w:r>
      <w:proofErr w:type="spellEnd"/>
      <w:r w:rsidRPr="00CE0C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И.В.</w:t>
      </w:r>
      <w:r w:rsidRPr="00CE0C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признан несостоятельным (банкротом),</w:t>
      </w:r>
      <w:r w:rsidRPr="00CE0CA2">
        <w:rPr>
          <w:sz w:val="28"/>
          <w:szCs w:val="28"/>
          <w:lang w:eastAsia="en-US"/>
        </w:rPr>
        <w:t xml:space="preserve"> вве</w:t>
      </w:r>
      <w:r>
        <w:rPr>
          <w:sz w:val="28"/>
          <w:szCs w:val="28"/>
          <w:lang w:eastAsia="en-US"/>
        </w:rPr>
        <w:t>дена</w:t>
      </w:r>
      <w:r w:rsidRPr="00CE0CA2">
        <w:rPr>
          <w:sz w:val="28"/>
          <w:szCs w:val="28"/>
          <w:lang w:eastAsia="en-US"/>
        </w:rPr>
        <w:t xml:space="preserve"> процедур</w:t>
      </w:r>
      <w:r>
        <w:rPr>
          <w:sz w:val="28"/>
          <w:szCs w:val="28"/>
          <w:lang w:eastAsia="en-US"/>
        </w:rPr>
        <w:t>а</w:t>
      </w:r>
      <w:r w:rsidRPr="00CE0CA2">
        <w:rPr>
          <w:sz w:val="28"/>
          <w:szCs w:val="28"/>
          <w:lang w:eastAsia="en-US"/>
        </w:rPr>
        <w:t xml:space="preserve"> реализации имущества гражданина сроком до 13.01.2017.</w:t>
      </w:r>
      <w:r>
        <w:rPr>
          <w:sz w:val="28"/>
          <w:szCs w:val="28"/>
          <w:lang w:eastAsia="en-US"/>
        </w:rPr>
        <w:t xml:space="preserve"> Ф</w:t>
      </w:r>
      <w:r w:rsidRPr="00CE0CA2">
        <w:rPr>
          <w:sz w:val="28"/>
          <w:szCs w:val="28"/>
          <w:lang w:eastAsia="en-US"/>
        </w:rPr>
        <w:t xml:space="preserve">инансовым управляющим должника </w:t>
      </w:r>
      <w:proofErr w:type="gramStart"/>
      <w:r>
        <w:rPr>
          <w:sz w:val="28"/>
          <w:szCs w:val="28"/>
          <w:lang w:eastAsia="en-US"/>
        </w:rPr>
        <w:t>утвержден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 w:rsidRPr="00CE0CA2">
        <w:rPr>
          <w:sz w:val="28"/>
          <w:szCs w:val="28"/>
          <w:lang w:eastAsia="en-US"/>
        </w:rPr>
        <w:t>Осинск</w:t>
      </w:r>
      <w:r>
        <w:rPr>
          <w:sz w:val="28"/>
          <w:szCs w:val="28"/>
          <w:lang w:eastAsia="en-US"/>
        </w:rPr>
        <w:t>ий</w:t>
      </w:r>
      <w:proofErr w:type="spellEnd"/>
      <w:r w:rsidRPr="00CE0CA2">
        <w:rPr>
          <w:sz w:val="28"/>
          <w:szCs w:val="28"/>
          <w:lang w:eastAsia="en-US"/>
        </w:rPr>
        <w:t xml:space="preserve"> Александр Николаевич</w:t>
      </w:r>
      <w:r>
        <w:rPr>
          <w:sz w:val="28"/>
          <w:szCs w:val="28"/>
          <w:lang w:eastAsia="en-US"/>
        </w:rPr>
        <w:t xml:space="preserve">, </w:t>
      </w:r>
      <w:r w:rsidRPr="00CE0CA2">
        <w:rPr>
          <w:sz w:val="28"/>
          <w:szCs w:val="28"/>
          <w:lang w:eastAsia="en-US"/>
        </w:rPr>
        <w:t>являющ</w:t>
      </w:r>
      <w:r>
        <w:rPr>
          <w:sz w:val="28"/>
          <w:szCs w:val="28"/>
          <w:lang w:eastAsia="en-US"/>
        </w:rPr>
        <w:t>ийся</w:t>
      </w:r>
      <w:r w:rsidRPr="00CE0CA2">
        <w:rPr>
          <w:sz w:val="28"/>
          <w:szCs w:val="28"/>
          <w:lang w:eastAsia="en-US"/>
        </w:rPr>
        <w:t xml:space="preserve"> членом Ассоциации «Межрегиональная саморегулируемая организация арбитражных управляющих  «Содействие».</w:t>
      </w:r>
      <w:r>
        <w:rPr>
          <w:sz w:val="28"/>
          <w:szCs w:val="28"/>
          <w:lang w:eastAsia="en-US"/>
        </w:rPr>
        <w:t xml:space="preserve"> </w:t>
      </w:r>
      <w:r w:rsidRPr="00CE0CA2">
        <w:rPr>
          <w:sz w:val="28"/>
          <w:szCs w:val="28"/>
          <w:lang w:eastAsia="en-US"/>
        </w:rPr>
        <w:t>Судебное заседание по рассмотрению дела о банкротстве назнач</w:t>
      </w:r>
      <w:r>
        <w:rPr>
          <w:sz w:val="28"/>
          <w:szCs w:val="28"/>
          <w:lang w:eastAsia="en-US"/>
        </w:rPr>
        <w:t xml:space="preserve">ено на 11.01.2017 на 11 ч </w:t>
      </w:r>
      <w:r w:rsidRPr="00CE0CA2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мин.</w:t>
      </w:r>
      <w:bookmarkStart w:id="0" w:name="_GoBack"/>
      <w:bookmarkEnd w:id="0"/>
      <w:r w:rsidR="007B68E3" w:rsidRPr="007B68E3">
        <w:rPr>
          <w:sz w:val="28"/>
          <w:szCs w:val="28"/>
          <w:lang w:eastAsia="en-US"/>
        </w:rPr>
        <w:t xml:space="preserve">  </w:t>
      </w:r>
    </w:p>
    <w:sectPr w:rsidR="001B1BAB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9A" w:rsidRDefault="007F549A" w:rsidP="007C51C6">
      <w:pPr>
        <w:spacing w:after="0"/>
      </w:pPr>
      <w:r>
        <w:separator/>
      </w:r>
    </w:p>
  </w:endnote>
  <w:endnote w:type="continuationSeparator" w:id="0">
    <w:p w:rsidR="007F549A" w:rsidRDefault="007F549A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9A" w:rsidRDefault="007F549A" w:rsidP="007C51C6">
      <w:pPr>
        <w:spacing w:after="0"/>
      </w:pPr>
      <w:r>
        <w:separator/>
      </w:r>
    </w:p>
  </w:footnote>
  <w:footnote w:type="continuationSeparator" w:id="0">
    <w:p w:rsidR="007F549A" w:rsidRDefault="007F549A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F5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181018"/>
    <w:rsid w:val="001B1BAB"/>
    <w:rsid w:val="002B479D"/>
    <w:rsid w:val="002C72CB"/>
    <w:rsid w:val="003E131D"/>
    <w:rsid w:val="006C5A8C"/>
    <w:rsid w:val="006E3279"/>
    <w:rsid w:val="006E70DE"/>
    <w:rsid w:val="0071724A"/>
    <w:rsid w:val="007569B9"/>
    <w:rsid w:val="007B68E3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E0CA2"/>
    <w:rsid w:val="00D56326"/>
    <w:rsid w:val="00D567A5"/>
    <w:rsid w:val="00DB0779"/>
    <w:rsid w:val="00DD2B94"/>
    <w:rsid w:val="00DF72B2"/>
    <w:rsid w:val="00E136C6"/>
    <w:rsid w:val="00E3697D"/>
    <w:rsid w:val="00F15504"/>
    <w:rsid w:val="00F20B34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14</cp:revision>
  <cp:lastPrinted>2016-07-19T08:57:00Z</cp:lastPrinted>
  <dcterms:created xsi:type="dcterms:W3CDTF">2016-06-01T04:09:00Z</dcterms:created>
  <dcterms:modified xsi:type="dcterms:W3CDTF">2016-07-19T08:57:00Z</dcterms:modified>
</cp:coreProperties>
</file>