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bookmarkStart w:id="0" w:name="_GoBack"/>
            <w:bookmarkEnd w:id="0"/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7C51C6" w:rsidRPr="007C51C6" w:rsidRDefault="007C51C6" w:rsidP="007C51C6">
      <w:pPr>
        <w:spacing w:after="0"/>
        <w:rPr>
          <w:sz w:val="28"/>
          <w:szCs w:val="28"/>
          <w:u w:val="single"/>
          <w:lang w:val="en-US" w:eastAsia="en-US"/>
        </w:rPr>
      </w:pPr>
    </w:p>
    <w:p w:rsidR="007C51C6" w:rsidRPr="007C51C6" w:rsidRDefault="007C51C6" w:rsidP="007C51C6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7C51C6" w:rsidRDefault="00181018" w:rsidP="00F964A4">
      <w:pPr>
        <w:spacing w:line="276" w:lineRule="auto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7C51C6"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01 октября  2015 г. в  суд 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№А60-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Целочисленный № в первой инстан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47179</w:t>
      </w:r>
      <w:r w:rsidRPr="00D567A5">
        <w:rPr>
          <w:b/>
          <w:sz w:val="28"/>
          <w:szCs w:val="28"/>
          <w:lang w:eastAsia="en-US"/>
        </w:rPr>
        <w:fldChar w:fldCharType="end"/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2015</w:t>
      </w:r>
      <w:r w:rsidRPr="00D567A5">
        <w:rPr>
          <w:b/>
          <w:sz w:val="28"/>
          <w:szCs w:val="28"/>
          <w:lang w:eastAsia="en-US"/>
        </w:rPr>
        <w:fldChar w:fldCharType="end"/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7C51C6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Истец:</w:t>
      </w:r>
      <w:r w:rsidRPr="007C51C6">
        <w:rPr>
          <w:sz w:val="28"/>
          <w:szCs w:val="28"/>
          <w:lang w:eastAsia="en-US"/>
        </w:rPr>
        <w:t xml:space="preserve"> </w:t>
      </w:r>
      <w:r w:rsidR="00D567A5" w:rsidRPr="00D567A5">
        <w:rPr>
          <w:sz w:val="28"/>
          <w:szCs w:val="28"/>
          <w:lang w:eastAsia="en-US"/>
        </w:rPr>
        <w:t xml:space="preserve"> ООО «Первая консалтинговая компания» о признании </w:t>
      </w:r>
      <w:r w:rsidR="006E3279">
        <w:rPr>
          <w:sz w:val="28"/>
          <w:szCs w:val="28"/>
          <w:lang w:eastAsia="en-US"/>
        </w:rPr>
        <w:t xml:space="preserve">гражданина </w:t>
      </w:r>
      <w:proofErr w:type="spellStart"/>
      <w:r w:rsidR="00D567A5" w:rsidRPr="00D567A5">
        <w:rPr>
          <w:sz w:val="28"/>
          <w:szCs w:val="28"/>
          <w:lang w:eastAsia="en-US"/>
        </w:rPr>
        <w:t>Кретова</w:t>
      </w:r>
      <w:proofErr w:type="spellEnd"/>
      <w:r w:rsidR="00D567A5" w:rsidRPr="00D567A5">
        <w:rPr>
          <w:sz w:val="28"/>
          <w:szCs w:val="28"/>
          <w:lang w:eastAsia="en-US"/>
        </w:rPr>
        <w:t xml:space="preserve"> Николая Николаевича  несостоятельным (банкротом).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7A5" w:rsidRDefault="007C51C6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 xml:space="preserve">Ответчик: </w:t>
      </w:r>
      <w:proofErr w:type="spellStart"/>
      <w:r w:rsidR="002C72CB">
        <w:rPr>
          <w:sz w:val="28"/>
          <w:szCs w:val="28"/>
          <w:lang w:eastAsia="en-US"/>
        </w:rPr>
        <w:t>Кретов</w:t>
      </w:r>
      <w:proofErr w:type="spellEnd"/>
      <w:r w:rsidR="002C72CB">
        <w:rPr>
          <w:sz w:val="28"/>
          <w:szCs w:val="28"/>
          <w:lang w:eastAsia="en-US"/>
        </w:rPr>
        <w:t xml:space="preserve"> Николай Николаевич.</w:t>
      </w:r>
      <w:r w:rsidR="00D567A5" w:rsidRPr="00D567A5">
        <w:rPr>
          <w:sz w:val="28"/>
          <w:szCs w:val="28"/>
          <w:lang w:eastAsia="en-US"/>
        </w:rPr>
        <w:t xml:space="preserve">  </w:t>
      </w:r>
    </w:p>
    <w:p w:rsidR="002C72CB" w:rsidRDefault="002C72CB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2C72CB">
        <w:rPr>
          <w:sz w:val="28"/>
          <w:szCs w:val="28"/>
        </w:rPr>
        <w:t>Заявитель</w:t>
      </w:r>
      <w:r w:rsidR="00F964A4">
        <w:rPr>
          <w:sz w:val="28"/>
          <w:szCs w:val="28"/>
        </w:rPr>
        <w:t xml:space="preserve">, </w:t>
      </w:r>
      <w:r w:rsidR="002C72CB" w:rsidRPr="00D567A5">
        <w:rPr>
          <w:sz w:val="28"/>
          <w:szCs w:val="28"/>
          <w:lang w:eastAsia="en-US"/>
        </w:rPr>
        <w:t>ООО «Первая консалтинговая компания»</w:t>
      </w:r>
      <w:r w:rsidR="00F964A4">
        <w:rPr>
          <w:sz w:val="28"/>
          <w:szCs w:val="28"/>
          <w:lang w:eastAsia="en-US"/>
        </w:rPr>
        <w:t>,</w:t>
      </w:r>
      <w:r w:rsidR="002C72CB">
        <w:rPr>
          <w:sz w:val="28"/>
          <w:szCs w:val="28"/>
        </w:rPr>
        <w:t xml:space="preserve"> ссылаясь  на наличие перед ним задолженности в размере 13 943 894 руб. 80 коп., </w:t>
      </w:r>
      <w:proofErr w:type="gramStart"/>
      <w:r w:rsidR="002C72CB">
        <w:rPr>
          <w:sz w:val="28"/>
          <w:szCs w:val="28"/>
        </w:rPr>
        <w:t>подтвержденную</w:t>
      </w:r>
      <w:proofErr w:type="gramEnd"/>
      <w:r w:rsidR="002C72CB">
        <w:rPr>
          <w:sz w:val="28"/>
          <w:szCs w:val="28"/>
        </w:rPr>
        <w:t xml:space="preserve"> судебным актом, просит признать гражданина </w:t>
      </w:r>
      <w:proofErr w:type="spellStart"/>
      <w:r w:rsidR="002C72CB">
        <w:rPr>
          <w:sz w:val="28"/>
          <w:szCs w:val="28"/>
        </w:rPr>
        <w:t>Кретова</w:t>
      </w:r>
      <w:proofErr w:type="spellEnd"/>
      <w:r w:rsidR="002C72CB">
        <w:rPr>
          <w:sz w:val="28"/>
          <w:szCs w:val="28"/>
        </w:rPr>
        <w:t xml:space="preserve"> Николая Николаевича несостоятельным (банкротом), назначить финансового управляющего </w:t>
      </w:r>
      <w:r w:rsidR="002C72CB" w:rsidRPr="002C72CB">
        <w:rPr>
          <w:sz w:val="28"/>
          <w:szCs w:val="28"/>
        </w:rPr>
        <w:t xml:space="preserve">из числа членов </w:t>
      </w:r>
      <w:r w:rsidR="002C72CB">
        <w:rPr>
          <w:sz w:val="28"/>
          <w:szCs w:val="28"/>
        </w:rPr>
        <w:t xml:space="preserve"> Некоммерческого</w:t>
      </w:r>
      <w:r w:rsidR="002C72CB" w:rsidRPr="002C72CB">
        <w:rPr>
          <w:sz w:val="28"/>
          <w:szCs w:val="28"/>
        </w:rPr>
        <w:t xml:space="preserve"> партнерств</w:t>
      </w:r>
      <w:r w:rsidR="002C72CB">
        <w:rPr>
          <w:sz w:val="28"/>
          <w:szCs w:val="28"/>
        </w:rPr>
        <w:t>а</w:t>
      </w:r>
      <w:r w:rsidR="002C72CB" w:rsidRPr="002C72CB">
        <w:rPr>
          <w:sz w:val="28"/>
          <w:szCs w:val="28"/>
        </w:rPr>
        <w:t xml:space="preserve"> «Межрегиональная саморегулируемая  организация  арбитражных управляющих «Стратегия»</w:t>
      </w:r>
      <w:r w:rsidR="002C72CB">
        <w:rPr>
          <w:sz w:val="28"/>
          <w:szCs w:val="28"/>
        </w:rPr>
        <w:t xml:space="preserve">. </w:t>
      </w:r>
    </w:p>
    <w:p w:rsidR="006E3279" w:rsidRDefault="007C51C6" w:rsidP="00F964A4">
      <w:pPr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Pr="007C51C6">
        <w:rPr>
          <w:sz w:val="28"/>
          <w:szCs w:val="28"/>
          <w:lang w:eastAsia="en-US"/>
        </w:rPr>
        <w:t xml:space="preserve">Определением Арбитражного суда Свердловской области от </w:t>
      </w:r>
      <w:r w:rsidR="002C72CB">
        <w:rPr>
          <w:sz w:val="28"/>
          <w:szCs w:val="28"/>
          <w:lang w:eastAsia="en-US"/>
        </w:rPr>
        <w:t xml:space="preserve">08 октября </w:t>
      </w:r>
      <w:r w:rsidRPr="007C51C6">
        <w:rPr>
          <w:sz w:val="28"/>
          <w:szCs w:val="28"/>
          <w:lang w:eastAsia="en-US"/>
        </w:rPr>
        <w:t xml:space="preserve"> 2015 года </w:t>
      </w:r>
      <w:r w:rsidR="002C72CB">
        <w:rPr>
          <w:sz w:val="28"/>
          <w:szCs w:val="28"/>
          <w:lang w:eastAsia="en-US"/>
        </w:rPr>
        <w:t xml:space="preserve"> </w:t>
      </w:r>
      <w:r w:rsidRPr="007C51C6">
        <w:rPr>
          <w:sz w:val="28"/>
          <w:szCs w:val="28"/>
          <w:lang w:eastAsia="en-US"/>
        </w:rPr>
        <w:t xml:space="preserve">заявление принято к производству, </w:t>
      </w:r>
      <w:r w:rsidR="002C72CB">
        <w:rPr>
          <w:sz w:val="28"/>
          <w:szCs w:val="28"/>
          <w:lang w:eastAsia="en-US"/>
        </w:rPr>
        <w:t>возбуждено производство по делу.</w:t>
      </w:r>
      <w:r w:rsidR="00D567A5">
        <w:rPr>
          <w:sz w:val="28"/>
          <w:szCs w:val="28"/>
        </w:rPr>
        <w:t xml:space="preserve"> </w:t>
      </w:r>
    </w:p>
    <w:p w:rsidR="002C72CB" w:rsidRPr="002C72CB" w:rsidRDefault="002C72CB" w:rsidP="00F964A4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2C72CB">
        <w:rPr>
          <w:sz w:val="28"/>
          <w:szCs w:val="28"/>
        </w:rPr>
        <w:t xml:space="preserve">а 30.10.2015. в 13 час 45 мин в помещении Арбитражного суда Свердловской области по адресу 620075, г. Екатеринбург,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Шарташская</w:t>
      </w:r>
      <w:proofErr w:type="spellEnd"/>
      <w:r>
        <w:rPr>
          <w:sz w:val="28"/>
          <w:szCs w:val="28"/>
        </w:rPr>
        <w:t>, д. 4, зал № 203  н</w:t>
      </w:r>
      <w:r w:rsidRPr="002C72CB">
        <w:rPr>
          <w:sz w:val="28"/>
          <w:szCs w:val="28"/>
        </w:rPr>
        <w:t>азнач</w:t>
      </w:r>
      <w:r>
        <w:rPr>
          <w:sz w:val="28"/>
          <w:szCs w:val="28"/>
        </w:rPr>
        <w:t>ено</w:t>
      </w:r>
      <w:r w:rsidRPr="002C72CB">
        <w:rPr>
          <w:sz w:val="28"/>
          <w:szCs w:val="28"/>
        </w:rPr>
        <w:t xml:space="preserve"> рассмотрение обоснованности </w:t>
      </w:r>
      <w:r>
        <w:rPr>
          <w:sz w:val="28"/>
          <w:szCs w:val="28"/>
        </w:rPr>
        <w:t xml:space="preserve">поданного </w:t>
      </w:r>
      <w:r w:rsidRPr="002C72CB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  <w:r w:rsidRPr="002C72CB">
        <w:rPr>
          <w:sz w:val="28"/>
          <w:szCs w:val="28"/>
        </w:rPr>
        <w:t xml:space="preserve"> </w:t>
      </w:r>
    </w:p>
    <w:p w:rsidR="00D567A5" w:rsidRDefault="00D567A5" w:rsidP="00F964A4">
      <w:pPr>
        <w:spacing w:line="276" w:lineRule="auto"/>
        <w:jc w:val="both"/>
        <w:rPr>
          <w:sz w:val="28"/>
          <w:szCs w:val="28"/>
        </w:rPr>
      </w:pPr>
    </w:p>
    <w:p w:rsidR="00D567A5" w:rsidRDefault="00D567A5"/>
    <w:sectPr w:rsidR="00D56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AF" w:rsidRDefault="009F49AF" w:rsidP="007C51C6">
      <w:pPr>
        <w:spacing w:after="0"/>
      </w:pPr>
      <w:r>
        <w:separator/>
      </w:r>
    </w:p>
  </w:endnote>
  <w:endnote w:type="continuationSeparator" w:id="0">
    <w:p w:rsidR="009F49AF" w:rsidRDefault="009F49AF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F49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F49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F4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AF" w:rsidRDefault="009F49AF" w:rsidP="007C51C6">
      <w:pPr>
        <w:spacing w:after="0"/>
      </w:pPr>
      <w:r>
        <w:separator/>
      </w:r>
    </w:p>
  </w:footnote>
  <w:footnote w:type="continuationSeparator" w:id="0">
    <w:p w:rsidR="009F49AF" w:rsidRDefault="009F49AF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F4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F49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F4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641E8"/>
    <w:rsid w:val="00181018"/>
    <w:rsid w:val="002C72CB"/>
    <w:rsid w:val="006C5A8C"/>
    <w:rsid w:val="006E3279"/>
    <w:rsid w:val="0071724A"/>
    <w:rsid w:val="007C51C6"/>
    <w:rsid w:val="009F49AF"/>
    <w:rsid w:val="00C45111"/>
    <w:rsid w:val="00C54691"/>
    <w:rsid w:val="00D567A5"/>
    <w:rsid w:val="00DD2B94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Вадим Витальевич</dc:creator>
  <cp:keywords/>
  <dc:description/>
  <cp:lastModifiedBy>Чуракова Наталья Сергеевна</cp:lastModifiedBy>
  <cp:revision>6</cp:revision>
  <cp:lastPrinted>2015-10-09T09:47:00Z</cp:lastPrinted>
  <dcterms:created xsi:type="dcterms:W3CDTF">2015-10-09T08:52:00Z</dcterms:created>
  <dcterms:modified xsi:type="dcterms:W3CDTF">2015-10-13T08:44:00Z</dcterms:modified>
</cp:coreProperties>
</file>